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Zásady poskytování individuálních dotací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z rozpočtu obce Kratonohy</w:t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 může ze svého rozpočtu na příslušný kalendářní rok poskytnout v jednotlivých případech individuální dotaci (dále v textu jen dotace/dotaci) osobám působícím v oblasti mládeže, tělovýchovy a sportu, sociálních služeb, podpory rodin, požární ochrany, kultury, vzdělávání a vědy, zdravotnictví, protidrogových aktivit, prevence kriminality a ochrany životního prostředí.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Dotace může být poskytnuta ve výši stanovené a schválené zastupitelstvem obce na  příslušný kalendářní rok.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Okruh možných žadatelů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O dotaci se mohou ucházet: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příspěvkové organizace bez ohledu na zřizovatele,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spolky,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obecně prospěšné společnosti,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nadace, nadační fondy,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církve a účelová zařízení církví,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výjimečně fyzické nebo právnické osoby,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fyzické osoby, v případě mimořádné živelné události nebo životní tísně.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Žadatel musí splňovat následující podmínky: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 působnost na území obce Kratonohy a Michnovka,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 vyrovnány všechny závazky vůči obci a jejím organizacím, Královéhradeckému kraji a jeho organizacím, státu.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Tématické zaměření dotací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Individuální dotace z rozpočtu obce může být poskytnuta na podporu činnosti v některé z těchto oblastí: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sportovní a zájmová činnost mládeže,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kultura,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organizovaná činnost ve prospěch zdravotně postižených spoluobčanů,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životní prostředí,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reprezentace obce,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jiná společensky prospěšná činnost.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Požadavky na zpracování žádosti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Žádost musí obsahovat následující: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Identifikace žadatele – název, adresa sídla, IČO, číslo účtu, peněžní ústav, telefon, jméno osoby oprávněné jednat za organizaci (místo bydliště, telefon), počet osob v členské základně (počet dětí do 15 let, počet osob nad 65 let)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 dotace – popis aktivit, které žadatel bude realizovat.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Výši požadovaného příspěvku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o činnosti žadatele – popis významných aktivit, které žadatel realizoval v minulém kalendářním roce, popis recipročních služeb (akcí) pro obec.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Čestné prohlášení v následujícím znění: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„Žadatel prohlašuje, že uvedené údaje jsou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single"/>
        </w:rPr>
        <w:t>úplné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a pravdivé, že nezatajuje žádné okolnosti, důležité pro posouzení žádosti a že má vyrovnány všechny závazky vůči obci a jejím organizacím, Královéhradeckému kraji a jeho organizacím, státu.“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Podpis osoby oprávněné jednat za organizaci, datum a místo, razítko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může být předložena na formuláři, který je k dispozici na Obecním úřadu Kratonohy nebo v elektronické podobě na internetové adrese www.kratonohy.cz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Způsob podání žádosti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musí být doručena na adresu: Obecní úřad Kratonohy, Kratonohy 31, 503 24 Kratonohy poštou nebo osobně.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Řádně a úplně vyplněná žádost musí být předložena v jednom tištěném originále.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 žádosti bude přiložena kopie smlouvy o zřízení bankovního účtu. Pokud již v minulosti žadatel doložil doklady o zřízení bankovního účtu, postačí čestné prohlášení osoby jednající, že aktuální účet je totožný s ověřeným bankovním účtem (čestné prohlášení bude součástí žádosti).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Termín přijímání žádostí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Žádosti o dotaci jsou přijímány průběžně s konečným termínem 30. listopadu roku, který předchází tomu, ve kterém bude dotace udělena.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Kontaktní informace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Obecní úřad Kratonohy, Kratonohy 31, 503 24 Kratonohy</w:t>
      </w:r>
    </w:p>
    <w:p>
      <w:pPr>
        <w:pStyle w:val="Normal"/>
        <w:numPr>
          <w:ilvl w:val="0"/>
          <w:numId w:val="7"/>
        </w:numPr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2">
        <w:r>
          <w:rPr>
            <w:rStyle w:val="Internetovodkaz"/>
            <w:rFonts w:ascii="Times New Roman" w:hAnsi="Times New Roman"/>
            <w:sz w:val="24"/>
            <w:szCs w:val="24"/>
          </w:rPr>
          <w:t>obec@kratonohy.cz</w:t>
        </w:r>
      </w:hyperlink>
      <w:r>
        <w:rPr>
          <w:rFonts w:ascii="Times New Roman" w:hAnsi="Times New Roman"/>
          <w:sz w:val="24"/>
          <w:szCs w:val="24"/>
        </w:rPr>
        <w:t xml:space="preserve">, telefon: 495 451 617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Průběh výběrového řízení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Řízení o poskytnutí dotace je jednokolové.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Žádosti vyhodnotí Finanční výbor obce (dále jen FV).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poskytnutí či neposkytnutí finančního příspěvku, o jeho výši a účelu použití, rozhoduje Zastupitelstvo obce na základě doporučení FV.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FV ani Zastupitelstvo obce nejsou povinni svůj návrh a své rozhodnutí zdůvodňovat.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Žadatelé budou v případě schválení finančního příspěvku vyzváni k uzavření veřejnoprávní smlouvy. Pokud úspěšný žadatel neuzavře veřejnoprávní smlouvu do 30 dnů od obdržení jejího návrhu, má se za to, že od přijetí příspěvku ustoupil.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žadatele žádá a jedná osoba, která má oprávnění k jednání.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přidělení/nepřidělení dotace bude žadatel písemně informován.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Podáním žádosti nevzniká žadateli na dotaci právní nárok.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si vyhrazuje právo dotaci neposkytnout žádnému ze žadatelů např. v souvislosti s nedostatkem finančních prostředků v rozpočtu obce.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hodnocení žádostí o dotaci budou upřednostňováni ti žadatelé, jejichž aktivity odpovídají zájmům obce, budou se společně podílet na akcích pořádaných obcí a budou zaměřeny na práci s mládeží nebo seniory.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Vhodnost nákladů projektu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Dotaci lze poskytnout zejména na</w:t>
      </w:r>
    </w:p>
    <w:p>
      <w:pPr>
        <w:pStyle w:val="Normal"/>
        <w:numPr>
          <w:ilvl w:val="0"/>
          <w:numId w:val="9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materiální a technické vybavení k zajištění konkrétního projektu</w:t>
      </w:r>
    </w:p>
    <w:p>
      <w:pPr>
        <w:pStyle w:val="Normal"/>
        <w:numPr>
          <w:ilvl w:val="0"/>
          <w:numId w:val="9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 spojené s propagací žadatele nebo konkrétního projektu.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Dotaci nelze poskytnout zejména na</w:t>
      </w:r>
    </w:p>
    <w:p>
      <w:pPr>
        <w:pStyle w:val="Normal"/>
        <w:numPr>
          <w:ilvl w:val="0"/>
          <w:numId w:val="10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mzdy, daně a odvody z mezd, odměny,</w:t>
      </w:r>
    </w:p>
    <w:p>
      <w:pPr>
        <w:pStyle w:val="Normal"/>
        <w:numPr>
          <w:ilvl w:val="0"/>
          <w:numId w:val="10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komerční a podnikatelské aktivity</w:t>
      </w:r>
    </w:p>
    <w:p>
      <w:pPr>
        <w:pStyle w:val="Normal"/>
        <w:numPr>
          <w:ilvl w:val="0"/>
          <w:numId w:val="10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náklady, prokazatelně nesouvisející s projektem.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Vyúčtování, kontrola, závěrečná ustanovení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Finanční prostředky budou žadateli poskytnuty na základě uzavřené veřejnoprávní smlouvy poukázáním na účet nebo v hotovosti na pokladně obce.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Předložení dokladů k proplacení (vyúčtování dotace) musí být provedeno nejpozději do 30. listopadu roku, pro který byla dotace poskytnuta. Vyúčtování dotace se provádí předložením kopií účetních dokladů a kopií dokladů o zaplacení.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Příjemce může v průběhu roku požádat písemnou formou o změnu účelu využití dotace. Prostředky na jiný účel lze použít až po schválení žádosti.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Obec Kratonohy si vyhrazuje právo na kontrolu výše a účelu použití dotace. Příjemce se zavazuje umožnit osobám pověřeným poskytovatelem provádět věcnou kontrolu, finanční a účetní kontrolu v průběhu realizace projektu (či jiného účelu), na který byla dotace poskytnuta, případně po jeho dokončení, po dobu 3 kalendářních let.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V případě, že se žadatel rozhodne ve lhůtě do 5 let po konci realizace projektu, prodat (darovat, apod.) věc, která byla pořízena z dotace obce Kratonohy a jejíž pořizovací hodnota přesáhla 5 000 Kč, nebo dojde-li v této lhůtě k ukončení činnosti žadatele, je povinen tuto věc bezplatně nabídnout obci Kratonohy.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6. Žadatel souhlasí  se zveřejněním svého jména a s výší finančního příspěvku.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7. Podle tohoto dokumentu bude postupováno při poskytnutí dotací z rozpočtu obce v roce 2019 a v letech následujících.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O žádostech podaných před účinností tohoto dokumentu bude rozhodováno dle dokumentu Zásad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poskytování individuálních dotací z rozpočtu obce Kratonohy přijatých zastupitelstvem obce Kratonohy dne 3.11.2015.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9. Tento dokument nahrazuje znění </w:t>
      </w:r>
      <w:bookmarkStart w:id="0" w:name="__DdeLink__92_1238241631"/>
      <w:r>
        <w:rPr>
          <w:rFonts w:ascii="Times New Roman" w:hAnsi="Times New Roman"/>
          <w:sz w:val="24"/>
          <w:szCs w:val="24"/>
        </w:rPr>
        <w:t xml:space="preserve">Zásad poskytování individuálních dotací z rozpočtu obce Kratonohy </w:t>
      </w:r>
      <w:r>
        <w:rPr>
          <w:rFonts w:ascii="Times New Roman" w:hAnsi="Times New Roman"/>
          <w:sz w:val="24"/>
          <w:szCs w:val="24"/>
        </w:rPr>
        <w:t>schválených usnesením</w:t>
      </w:r>
      <w:r>
        <w:rPr>
          <w:rFonts w:ascii="Times New Roman" w:hAnsi="Times New Roman"/>
          <w:sz w:val="24"/>
          <w:szCs w:val="24"/>
        </w:rPr>
        <w:t xml:space="preserve"> zastupitelstv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obce Kratonohy </w:t>
      </w:r>
      <w:r>
        <w:rPr>
          <w:rFonts w:ascii="Times New Roman" w:hAnsi="Times New Roman"/>
          <w:sz w:val="24"/>
          <w:szCs w:val="24"/>
        </w:rPr>
        <w:t xml:space="preserve">na veřejném zasedání </w:t>
      </w:r>
      <w:r>
        <w:rPr>
          <w:rFonts w:ascii="Times New Roman" w:hAnsi="Times New Roman"/>
          <w:sz w:val="24"/>
          <w:szCs w:val="24"/>
        </w:rPr>
        <w:t>dne 3.11.2015.</w:t>
      </w:r>
      <w:bookmarkEnd w:id="0"/>
      <w:r>
        <w:rPr>
          <w:rFonts w:ascii="Times New Roman" w:hAnsi="Times New Roman"/>
          <w:sz w:val="24"/>
          <w:szCs w:val="24"/>
        </w:rPr>
        <w:t xml:space="preserve"> Tento dokument byl schválen </w:t>
      </w:r>
      <w:r>
        <w:rPr>
          <w:rFonts w:ascii="Times New Roman" w:hAnsi="Times New Roman"/>
          <w:sz w:val="24"/>
          <w:szCs w:val="24"/>
        </w:rPr>
        <w:t xml:space="preserve">usnesením zastupitelstva obce Kratonohy na veřejném zasedání dne 29.01.2019 </w:t>
      </w:r>
      <w:r>
        <w:rPr>
          <w:rFonts w:ascii="Times New Roman" w:hAnsi="Times New Roman"/>
          <w:sz w:val="24"/>
          <w:szCs w:val="24"/>
        </w:rPr>
        <w:t xml:space="preserve">a nabyl účinnosti dne 29.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1. 2019.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>10. Přílohy: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Vzor formuláře žádosti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Vzor čestného prohlášení (číslo účtu)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Vzor veřejnoprávní smlouvy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Vzor vyúčtování dotace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 Šatalík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Marek Veselý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</w:t>
      </w:r>
    </w:p>
    <w:p>
      <w:pPr>
        <w:pStyle w:val="Normal"/>
        <w:spacing w:lineRule="auto" w:line="276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ans-serif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sans-serif" w:hAnsi="sans-serif" w:cs="OpenSymbol"/>
      <w:sz w:val="2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Times New Roman" w:hAnsi="Times New Roman" w:cs="OpenSymbol"/>
      <w:sz w:val="24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ascii="Times New Roman" w:hAnsi="Times New Roman" w:cs="OpenSymbol"/>
      <w:sz w:val="24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cs="OpenSymbol"/>
      <w:sz w:val="24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ascii="Times New Roman" w:hAnsi="Times New Roman" w:cs="OpenSymbol"/>
      <w:sz w:val="24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ascii="Times New Roman" w:hAnsi="Times New Roman" w:cs="OpenSymbol"/>
      <w:sz w:val="24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ascii="Times New Roman" w:hAnsi="Times New Roman" w:cs="OpenSymbol"/>
      <w:sz w:val="24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ascii="Times New Roman" w:hAnsi="Times New Roman" w:cs="OpenSymbol"/>
      <w:sz w:val="24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ascii="Times New Roman" w:hAnsi="Times New Roman" w:cs="OpenSymbol"/>
      <w:sz w:val="24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ascii="Times New Roman" w:hAnsi="Times New Roman" w:cs="OpenSymbol"/>
      <w:sz w:val="24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ascii="Times New Roman" w:hAnsi="Times New Roman" w:cs="OpenSymbol"/>
      <w:sz w:val="24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ascii="Times New Roman" w:hAnsi="Times New Roman" w:cs="OpenSymbol"/>
      <w:sz w:val="24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ascii="Times New Roman" w:hAnsi="Times New Roman" w:cs="OpenSymbol"/>
      <w:sz w:val="24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ascii="Times New Roman" w:hAnsi="Times New Roman" w:cs="OpenSymbol"/>
      <w:sz w:val="24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ascii="Times New Roman" w:hAnsi="Times New Roman" w:cs="OpenSymbol"/>
      <w:sz w:val="24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ascii="Times New Roman" w:hAnsi="Times New Roman" w:cs="OpenSymbol"/>
      <w:sz w:val="24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ascii="Times New Roman" w:hAnsi="Times New Roman" w:cs="OpenSymbol"/>
      <w:sz w:val="24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ascii="Times New Roman" w:hAnsi="Times New Roman" w:cs="OpenSymbol"/>
      <w:sz w:val="24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ascii="Times New Roman" w:hAnsi="Times New Roman" w:cs="OpenSymbol"/>
      <w:sz w:val="24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ascii="Times New Roman" w:hAnsi="Times New Roman" w:cs="OpenSymbol"/>
      <w:sz w:val="24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ascii="Times New Roman" w:hAnsi="Times New Roman" w:cs="OpenSymbol"/>
      <w:sz w:val="24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ascii="Times New Roman" w:hAnsi="Times New Roman" w:cs="OpenSymbol"/>
      <w:sz w:val="24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ascii="Times New Roman" w:hAnsi="Times New Roman" w:cs="OpenSymbol"/>
      <w:sz w:val="24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ascii="Times New Roman" w:hAnsi="Times New Roman" w:cs="OpenSymbol"/>
      <w:sz w:val="24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ascii="Times New Roman" w:hAnsi="Times New Roman" w:cs="OpenSymbol"/>
      <w:sz w:val="24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cs="OpenSymbol"/>
    </w:rPr>
  </w:style>
  <w:style w:type="character" w:styleId="ListLabel305">
    <w:name w:val="ListLabel 305"/>
    <w:qFormat/>
    <w:rPr>
      <w:rFonts w:cs="OpenSymbol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ascii="Times New Roman" w:hAnsi="Times New Roman" w:cs="OpenSymbol"/>
      <w:sz w:val="24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ascii="Times New Roman" w:hAnsi="Times New Roman" w:cs="OpenSymbol"/>
      <w:sz w:val="24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ascii="Times New Roman" w:hAnsi="Times New Roman" w:cs="OpenSymbol"/>
      <w:sz w:val="24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ascii="Times New Roman" w:hAnsi="Times New Roman" w:cs="OpenSymbol"/>
      <w:sz w:val="24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cs="OpenSymbol"/>
    </w:rPr>
  </w:style>
  <w:style w:type="character" w:styleId="ListLabel341">
    <w:name w:val="ListLabel 341"/>
    <w:qFormat/>
    <w:rPr>
      <w:rFonts w:cs="OpenSymbol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ascii="Times New Roman" w:hAnsi="Times New Roman" w:cs="OpenSymbol"/>
      <w:sz w:val="24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cs="OpenSymbol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ascii="Times New Roman" w:hAnsi="Times New Roman" w:cs="OpenSymbol"/>
      <w:sz w:val="24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ascii="Times New Roman" w:hAnsi="Times New Roman" w:cs="OpenSymbol"/>
      <w:sz w:val="24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ascii="Times New Roman" w:hAnsi="Times New Roman" w:cs="OpenSymbol"/>
      <w:sz w:val="24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ascii="Times New Roman" w:hAnsi="Times New Roman" w:cs="OpenSymbol"/>
      <w:sz w:val="24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ascii="Times New Roman" w:hAnsi="Times New Roman" w:cs="OpenSymbol"/>
      <w:sz w:val="24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ascii="Times New Roman" w:hAnsi="Times New Roman" w:cs="OpenSymbol"/>
      <w:sz w:val="24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ascii="Times New Roman" w:hAnsi="Times New Roman" w:cs="OpenSymbol"/>
      <w:sz w:val="24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ascii="Times New Roman" w:hAnsi="Times New Roman" w:cs="OpenSymbol"/>
      <w:sz w:val="24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ascii="Times New Roman" w:hAnsi="Times New Roman" w:cs="OpenSymbol"/>
      <w:sz w:val="24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ascii="Times New Roman" w:hAnsi="Times New Roman" w:cs="OpenSymbol"/>
      <w:sz w:val="24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ascii="Times New Roman" w:hAnsi="Times New Roman" w:cs="OpenSymbol"/>
      <w:sz w:val="24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Times New Roman" w:hAnsi="Times New Roman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ascii="Times New Roman" w:hAnsi="Times New Roman" w:cs="OpenSymbol"/>
      <w:sz w:val="24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ascii="Times New Roman" w:hAnsi="Times New Roman" w:cs="OpenSymbol"/>
      <w:sz w:val="24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ascii="Times New Roman" w:hAnsi="Times New Roman"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ascii="Times New Roman" w:hAnsi="Times New Roman" w:cs="OpenSymbol"/>
      <w:sz w:val="24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ascii="Times New Roman" w:hAnsi="Times New Roman" w:cs="OpenSymbol"/>
      <w:sz w:val="24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ascii="Times New Roman" w:hAnsi="Times New Roman"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ascii="Times New Roman" w:hAnsi="Times New Roman" w:cs="OpenSymbol"/>
      <w:sz w:val="24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ascii="Times New Roman" w:hAnsi="Times New Roman" w:cs="OpenSymbol"/>
      <w:sz w:val="24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ascii="Times New Roman" w:hAnsi="Times New Roman"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pat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bec@kratonohy.cz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LibreOffice/5.1.2.2$Windows_x86 LibreOffice_project/d3bf12ecb743fc0d20e0be0c58ca359301eb705f</Application>
  <Pages>4</Pages>
  <Words>1002</Words>
  <Characters>5898</Characters>
  <CharactersWithSpaces>6785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2019-01-27T20:08:47Z</dcterms:created>
  <dc:creator/>
  <dc:description/>
  <dc:language>cs-CZ</dc:language>
  <cp:lastModifiedBy/>
  <dcterms:modified xsi:type="dcterms:W3CDTF">2019-01-29T10:16:25Z</dcterms:modified>
  <cp:revision>29</cp:revision>
  <dc:subject/>
  <dc:title/>
</cp:coreProperties>
</file>